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2782988" r:id="rId7"/>
        </w:objec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9D763C" w:rsidRPr="00AE41F8" w:rsidRDefault="009D763C" w:rsidP="009D763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9D763C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В.І.</w:t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робітник з </w:t>
      </w:r>
      <w:r w:rsidRPr="00BC6665">
        <w:rPr>
          <w:rFonts w:ascii="Times New Roman" w:hAnsi="Times New Roman" w:cs="Times New Roman"/>
          <w:sz w:val="28"/>
          <w:szCs w:val="28"/>
          <w:lang w:val="uk-UA"/>
        </w:rPr>
        <w:t>комплексного бслуговування й ремонту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адміністративно-господарчої частини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D763C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Т.І.Литвищенко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АГЧ                                                     Л.П.Хантіль</w:t>
      </w:r>
    </w:p>
    <w:p w:rsidR="009D763C" w:rsidRPr="00453759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 з обслуговування будівель                                       В.І.Омельченко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 О.Ф.Ложка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C5" w:rsidRDefault="006372C5" w:rsidP="009D763C">
      <w:pPr>
        <w:spacing w:after="0" w:line="240" w:lineRule="auto"/>
      </w:pPr>
      <w:r>
        <w:separator/>
      </w:r>
    </w:p>
  </w:endnote>
  <w:endnote w:type="continuationSeparator" w:id="1">
    <w:p w:rsidR="006372C5" w:rsidRDefault="006372C5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C5" w:rsidRDefault="006372C5" w:rsidP="009D763C">
      <w:pPr>
        <w:spacing w:after="0" w:line="240" w:lineRule="auto"/>
      </w:pPr>
      <w:r>
        <w:separator/>
      </w:r>
    </w:p>
  </w:footnote>
  <w:footnote w:type="continuationSeparator" w:id="1">
    <w:p w:rsidR="006372C5" w:rsidRDefault="006372C5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9D763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6372C5"/>
    <w:rsid w:val="009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2013-02-19T10:43:00Z</cp:lastPrinted>
  <dcterms:created xsi:type="dcterms:W3CDTF">2013-02-19T10:41:00Z</dcterms:created>
  <dcterms:modified xsi:type="dcterms:W3CDTF">2013-02-19T10:43:00Z</dcterms:modified>
</cp:coreProperties>
</file>